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800000"/>
          <w:sz w:val="36"/>
          <w:szCs w:val="36"/>
          <w:u w:color="800000"/>
          <w:rtl w:val="0"/>
          <w:lang w:val="it-IT"/>
          <w14:textFill>
            <w14:solidFill>
              <w14:srgbClr w14:val="800000"/>
            </w14:solidFill>
          </w14:textFill>
        </w:rPr>
        <w:t>Carey Leon Remo II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3061 Aberdeen Way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Stonecrest, GA, 30038</w:t>
      </w:r>
    </w:p>
    <w:p>
      <w:pPr>
        <w:pStyle w:val="Body A"/>
        <w:spacing w:line="24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678.469.2270</w:t>
      </w:r>
    </w:p>
    <w:p>
      <w:pPr>
        <w:pStyle w:val="Body A"/>
        <w:tabs>
          <w:tab w:val="center" w:pos="7920"/>
        </w:tabs>
        <w:spacing w:line="240" w:lineRule="auto"/>
        <w:jc w:val="center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"mailto:carey.remo@gmail.com"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carey.remo@gmail.com</w:t>
      </w:r>
      <w:r>
        <w:rPr/>
        <w:fldChar w:fldCharType="end" w:fldLock="0"/>
      </w:r>
    </w:p>
    <w:p>
      <w:pPr>
        <w:pStyle w:val="Body A"/>
        <w:tabs>
          <w:tab w:val="center" w:pos="7920"/>
        </w:tabs>
        <w:spacing w:line="240" w:lineRule="auto"/>
        <w:jc w:val="center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one"/>
          <w:rFonts w:ascii="Calibri" w:hAnsi="Calibri"/>
          <w:b w:val="1"/>
          <w:bCs w:val="1"/>
          <w:sz w:val="28"/>
          <w:szCs w:val="28"/>
          <w:rtl w:val="0"/>
          <w:lang w:val="it-IT"/>
        </w:rPr>
        <w:t>OBJECTIVE</w:t>
      </w:r>
    </w:p>
    <w:p>
      <w:pPr>
        <w:pStyle w:val="Body A"/>
        <w:rPr>
          <w:rStyle w:val="None A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Accomplished insurance professional with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eight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plus years of experience in claims adjusting, policy interpretation, implementation, and workforce management. An adept communicator with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roven track record of efficiently handling complex claims, ensuring compliance with regulations, and delivering exceptional customer service. Adept at analyzing policy coverage, negotiating settlements, and collaborating with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legal teams and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stakeholders to achieve favorable outcomes.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:shd w:val="clear" w:color="auto" w:fill="766ac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  <w:lang w:val="de-DE"/>
        </w:rPr>
      </w:pPr>
      <w:r>
        <w:rPr>
          <w:rStyle w:val="None"/>
          <w:rFonts w:ascii="Calibri" w:hAnsi="Calibri"/>
          <w:b w:val="1"/>
          <w:bCs w:val="1"/>
          <w:sz w:val="28"/>
          <w:szCs w:val="28"/>
          <w:rtl w:val="0"/>
          <w:lang w:val="de-DE"/>
        </w:rPr>
        <w:t>EXPERIENCE</w:t>
      </w:r>
    </w:p>
    <w:p>
      <w:pPr>
        <w:pStyle w:val="Body A"/>
        <w:rPr>
          <w:rStyle w:val="None"/>
          <w:lang w:val="it-IT"/>
        </w:rPr>
      </w:pPr>
      <w:r>
        <w:rPr>
          <w:rStyle w:val="None"/>
          <w:lang w:val="it-IT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  <w:rPr>
          <w:rStyle w:val="None"/>
          <w:lang w:val="it-IT"/>
        </w:rPr>
      </w:pPr>
    </w:p>
    <w:p>
      <w:pPr>
        <w:pStyle w:val="Body"/>
        <w:spacing w:line="276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Claims Specialist - Homeowners - Hail Reconciliation Unit (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February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20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20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- 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Present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</w:p>
    <w:p>
      <w:pPr>
        <w:pStyle w:val="Body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E.A. Renfroe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Remote</w:t>
      </w:r>
    </w:p>
    <w:p>
      <w:pPr>
        <w:pStyle w:val="Body"/>
        <w:rPr>
          <w:rStyle w:val="None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Knowledgeable of damage estimating and repair techniques for property, personal property, residential </w:t>
      </w:r>
      <w:r>
        <w:rPr>
          <w:rStyle w:val="None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and commercial </w:t>
      </w:r>
      <w:r>
        <w:rPr>
          <w:rStyle w:val="None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construction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Utilized Xactimate software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Provided strong customer service to policyholders and vendors in multiple states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Reviewed claims history and make coverage decisions based upon the policy and appropriate regulations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Evaluated supplement requests for accuracy and appropriateness and issue payments when needed</w:t>
      </w:r>
    </w:p>
    <w:p>
      <w:pPr>
        <w:pStyle w:val="Body"/>
        <w:bidi w:val="0"/>
        <w:ind w:left="0" w:right="0" w:firstLine="0"/>
        <w:jc w:val="left"/>
        <w:rPr>
          <w:rStyle w:val="None"/>
          <w:sz w:val="26"/>
          <w:szCs w:val="26"/>
          <w:rtl w:val="0"/>
          <w:lang w:val="it-IT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Claims Specialist - Boat, Commercial, Farm &amp; Ranch (Aug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ust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2018 - 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December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202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1</w:t>
      </w:r>
      <w:r>
        <w:rPr>
          <w:rStyle w:val="None"/>
          <w:rFonts w:ascii="Times New Roman" w:hAnsi="Times New Roman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)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E. A. Renfroe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-</w:t>
      </w:r>
      <w:r>
        <w:rPr>
          <w:rStyle w:val="None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 Irving, TX/Remote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spacing w:before="280" w:line="240" w:lineRule="auto"/>
        <w:ind w:right="0"/>
        <w:jc w:val="left"/>
        <w:rPr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Investigated, evaluated, and concluded Boat, Commercial, and Farm &amp; Ranch property claims including verification of coverage and extent of damage to property, which may require contact by telephone or by correspondence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spacing w:line="240" w:lineRule="auto"/>
        <w:ind w:right="0"/>
        <w:jc w:val="left"/>
        <w:rPr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Applied knowledge of Boat, Commercial, and Farm &amp; Ranch policies, nautical terminology, state/federal regulations, repair procedures/techniques to resolve first party losses with policyholders and/or their representatives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spacing w:line="240" w:lineRule="auto"/>
        <w:ind w:right="0"/>
        <w:jc w:val="left"/>
        <w:rPr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Manage</w:t>
      </w: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and process business interruption claims and litigation cases from initial report to final resolution.</w:t>
      </w: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spacing w:line="240" w:lineRule="auto"/>
        <w:ind w:right="0"/>
        <w:jc w:val="left"/>
        <w:rPr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Negotiated settlements wit claimants and opposing counsel, ensuring fair an equitable outcomes while minimizing company liability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spacing w:line="240" w:lineRule="auto"/>
        <w:ind w:right="0"/>
        <w:jc w:val="left"/>
        <w:rPr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Collaborate</w:t>
      </w: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with legal teams to prepare for litigation, including gathering necessary documentation and evidence.</w:t>
      </w:r>
    </w:p>
    <w:p>
      <w:pPr>
        <w:pStyle w:val="Body A"/>
        <w:numPr>
          <w:ilvl w:val="0"/>
          <w:numId w:val="3"/>
        </w:numPr>
        <w:shd w:val="clear" w:color="auto" w:fill="ffffff"/>
        <w:bidi w:val="0"/>
        <w:spacing w:line="240" w:lineRule="auto"/>
        <w:ind w:right="0"/>
        <w:jc w:val="left"/>
        <w:rPr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rovide</w:t>
      </w:r>
      <w:r>
        <w:rPr>
          <w:rStyle w:val="None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exceptional customer service by addressing inquiries and concerns promptly and professionally</w:t>
      </w:r>
    </w:p>
    <w:p>
      <w:pPr>
        <w:pStyle w:val="Body A"/>
        <w:bidi w:val="0"/>
        <w:spacing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Individual Assistance Reservist (Oct 2017 - Oct 2019)</w:t>
      </w:r>
    </w:p>
    <w:p>
      <w:pPr>
        <w:pStyle w:val="Body"/>
        <w:spacing w:line="276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FEMA -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Homeland Security </w:t>
      </w:r>
    </w:p>
    <w:p>
      <w:pPr>
        <w:pStyle w:val="Body"/>
        <w:numPr>
          <w:ilvl w:val="0"/>
          <w:numId w:val="5"/>
        </w:numPr>
        <w:bidi w:val="0"/>
        <w:spacing w:before="180" w:line="276" w:lineRule="auto"/>
        <w:ind w:right="0"/>
        <w:jc w:val="left"/>
        <w:rPr>
          <w:outline w:val="0"/>
          <w:color w:val="111111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Style w:val="None"/>
          <w:outline w:val="0"/>
          <w:color w:val="111111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Applied policies and procedures to conduct damage assessments, disaster surveys, and public assistance recovery operations.</w:t>
      </w:r>
    </w:p>
    <w:p>
      <w:pPr>
        <w:pStyle w:val="Body"/>
        <w:numPr>
          <w:ilvl w:val="0"/>
          <w:numId w:val="5"/>
        </w:numPr>
        <w:bidi w:val="0"/>
        <w:spacing w:line="276" w:lineRule="auto"/>
        <w:ind w:right="0"/>
        <w:jc w:val="left"/>
        <w:rPr>
          <w:outline w:val="0"/>
          <w:color w:val="111111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Style w:val="None"/>
          <w:outline w:val="0"/>
          <w:color w:val="111111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Engaged with applicants at all stages of the disaster recovery process, offering advice, guidance, and technical assistance related to laws, policies, and regulations.</w:t>
      </w:r>
    </w:p>
    <w:p>
      <w:pPr>
        <w:pStyle w:val="Body"/>
        <w:numPr>
          <w:ilvl w:val="0"/>
          <w:numId w:val="5"/>
        </w:numPr>
        <w:bidi w:val="0"/>
        <w:spacing w:line="276" w:lineRule="auto"/>
        <w:ind w:right="0"/>
        <w:jc w:val="left"/>
        <w:rPr>
          <w:outline w:val="0"/>
          <w:color w:val="111111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Style w:val="None"/>
          <w:outline w:val="0"/>
          <w:color w:val="111111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Managed recovery programs and projects, which involved site inspections, damage summaries, communication of assistance requirements, and tracking projects using FEMA</w:t>
      </w:r>
      <w:r>
        <w:rPr>
          <w:rStyle w:val="None"/>
          <w:outline w:val="0"/>
          <w:color w:val="111111"/>
          <w:u w:color="111111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Style w:val="None"/>
          <w:outline w:val="0"/>
          <w:color w:val="111111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s delivery model.</w:t>
      </w:r>
    </w:p>
    <w:p>
      <w:pPr>
        <w:pStyle w:val="Body"/>
        <w:numPr>
          <w:ilvl w:val="0"/>
          <w:numId w:val="5"/>
        </w:numPr>
        <w:bidi w:val="0"/>
        <w:spacing w:line="276" w:lineRule="auto"/>
        <w:ind w:right="0"/>
        <w:jc w:val="left"/>
        <w:rPr>
          <w:outline w:val="0"/>
          <w:color w:val="111111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Style w:val="None"/>
          <w:outline w:val="0"/>
          <w:color w:val="111111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Collaborated with stakeholders on emergency management initiatives.</w:t>
      </w:r>
    </w:p>
    <w:p>
      <w:pPr>
        <w:pStyle w:val="Body"/>
        <w:numPr>
          <w:ilvl w:val="0"/>
          <w:numId w:val="5"/>
        </w:numPr>
        <w:bidi w:val="0"/>
        <w:spacing w:line="276" w:lineRule="auto"/>
        <w:ind w:right="0"/>
        <w:jc w:val="left"/>
        <w:rPr>
          <w:outline w:val="0"/>
          <w:color w:val="111111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Style w:val="None"/>
          <w:outline w:val="0"/>
          <w:color w:val="111111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Participated in informational meetings and gatherings to communicate program eligibility requirements to broader audiences.</w:t>
      </w:r>
    </w:p>
    <w:p>
      <w:pPr>
        <w:pStyle w:val="Body A"/>
        <w:bidi w:val="0"/>
        <w:spacing w:line="240" w:lineRule="auto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Claims Specialist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-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Homeowners (Aug 2016 - July 2018)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Catastrophe &amp; National Claims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Johns Creek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, G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Investigated, evaluated, negotiated and settled homeowners claims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Communicated with customers by telephone, written correspondence and various electronic media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Prepared and reviewed property estimates and contents in loss settlements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Applied knowledge of state and federal laws, statutes and insurance regulations in claim handling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Reconciled submitted estimates with carrier estimates on property damage losses and issued replacement cost benefits payments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Completed phone scopes/inventory assessment of damaged personal property and issued claim settlement payments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Worked in a collaborative team environment to handle a large volume of claims and telephone calls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Utilized State Farm claims systems and other technologies to perform job duties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lang w:val="en-US"/>
        </w:rPr>
      </w:pP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lang w:val="en-US"/>
        </w:rPr>
      </w:pP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lang w:val="en-US"/>
        </w:rPr>
      </w:pP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lang w:val="en-US"/>
        </w:rPr>
      </w:pP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Administrative Assistant (July 2013 - August 2016)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Wiley Rein LLP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- Washington, DC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>​​​​​​​​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Project coordination including research and mass data entry.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Support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Chief Human Resources Officer and Benefits Manager in production and coordination of time sensitive, FMLA, and confidential documents.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Determined eligibility and availability of leave time for each employee requesting leave for FMLA, State, and Corporate protection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Scheduled meetings, plan and organize employee events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Determined and generated appropriate communication to comply with FMLA and State regulations and customer procedures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Prepare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new hire orientation paperwork, create and maintain permanent files for incoming and current employees.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  <w:lang w:val="da-DK"/>
        </w:rPr>
      </w:pPr>
      <w:r>
        <w:rPr>
          <w:rStyle w:val="None"/>
          <w:rFonts w:ascii="Calibri" w:hAnsi="Calibri"/>
          <w:b w:val="1"/>
          <w:bCs w:val="1"/>
          <w:sz w:val="28"/>
          <w:szCs w:val="28"/>
          <w:rtl w:val="0"/>
          <w:lang w:val="da-DK"/>
        </w:rPr>
        <w:t>RELEVANT SKILLS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Claims management, policy analysis, litigation support, regulatory compliance, customer support, report preparation, team collaboration, ceridian, workforce management, attention to detail, xactimate, ECS, microsoft office, etc.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40" w:lineRule="auto"/>
        <w:rPr>
          <w:rStyle w:val="None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one"/>
          <w:rFonts w:ascii="Calibri" w:hAnsi="Calibri"/>
          <w:b w:val="1"/>
          <w:bCs w:val="1"/>
          <w:sz w:val="28"/>
          <w:szCs w:val="28"/>
          <w:rtl w:val="0"/>
          <w:lang w:val="it-IT"/>
        </w:rPr>
        <w:t>LICENSES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Georgia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(resident);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Florida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(non-resident); Oklahoma (non-resident); South Carolina (non-resident); Wyoming (non-resident); Texas (non-resident); </w:t>
      </w:r>
      <w:r>
        <w:rPr>
          <w:rStyle w:val="None"/>
          <w:rFonts w:ascii="Times New Roman" w:hAnsi="Times New Roman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Michigan (non-resident);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Minnesota (non-resident); Louisiana (non-resident) South Carolina (non-resident); Indiana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 (non-resident)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; New Mexico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 (non-resident)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; West Virginia 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(non-resident)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  <w:lang w:val="de-DE"/>
        </w:rPr>
      </w:pPr>
      <w:r>
        <w:rPr>
          <w:rStyle w:val="None"/>
          <w:rFonts w:ascii="Calibri" w:hAnsi="Calibri"/>
          <w:b w:val="1"/>
          <w:bCs w:val="1"/>
          <w:sz w:val="28"/>
          <w:szCs w:val="28"/>
          <w:rtl w:val="0"/>
          <w:lang w:val="de-DE"/>
        </w:rPr>
        <w:t>CERTIFICATIONS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 xml:space="preserve">State Farm Auto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&amp; Property 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Certification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NFIP Flood Certification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Louisiana Citizens Certification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8"/>
          <w:szCs w:val="28"/>
          <w:lang w:val="en-US"/>
        </w:rPr>
      </w:pPr>
      <w:r>
        <w:rPr>
          <w:rStyle w:val="None"/>
          <w:rFonts w:ascii="Calibri" w:hAnsi="Calibri"/>
          <w:b w:val="1"/>
          <w:bCs w:val="1"/>
          <w:sz w:val="28"/>
          <w:szCs w:val="28"/>
          <w:rtl w:val="0"/>
          <w:lang w:val="en-US"/>
        </w:rPr>
        <w:t>EDUCATION</w:t>
      </w:r>
    </w:p>
    <w:p>
      <w:pPr>
        <w:pStyle w:val="Body A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>Georgia Perimeter College</w:t>
      </w: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August 2013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May 2015</w:t>
      </w:r>
    </w:p>
    <w:p>
      <w:pPr>
        <w:pStyle w:val="Body A"/>
        <w:spacing w:line="240" w:lineRule="auto"/>
        <w:rPr>
          <w:rStyle w:val="None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Candidate for Associates of Arts in Education</w:t>
      </w:r>
      <w:r>
        <w:rPr>
          <w:rStyle w:val="None"/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Body A"/>
        <w:spacing w:line="240" w:lineRule="auto"/>
        <w:rPr>
          <w:rStyle w:val="None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40" w:lineRule="auto"/>
        <w:rPr>
          <w:rStyle w:val="None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vertAlign w:val="baseline"/>
          <w:lang w:val="en-US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Cedar Grove High School, Ellenwood, Georgia </w:t>
      </w:r>
    </w:p>
    <w:p>
      <w:pPr>
        <w:pStyle w:val="Body A"/>
        <w:spacing w:line="240" w:lineRule="auto"/>
        <w:rPr>
          <w:rStyle w:val="None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May 2008</w:t>
      </w:r>
      <w:r>
        <w:rPr>
          <w:rStyle w:val="None"/>
          <w:rtl w:val="0"/>
          <w:lang w:val="it-IT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High School Diploma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</w:t>
      </w:r>
    </w:p>
    <w:p>
      <w:pPr>
        <w:pStyle w:val="Body A"/>
        <w:spacing w:line="240" w:lineRule="auto"/>
      </w:pPr>
      <w:r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5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7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9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3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5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9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510" w:hanging="3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  <w:style w:type="character" w:styleId="None A">
    <w:name w:val="None A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3">
    <w:name w:val="Imported Style 3"/>
    <w:pPr>
      <w:numPr>
        <w:numId w:val="4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